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2C" w:rsidRPr="008E7C2F" w:rsidRDefault="00F9172C" w:rsidP="008E7C2F">
      <w:pPr>
        <w:pStyle w:val="ConsPlusNormal"/>
        <w:ind w:right="-1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172C" w:rsidRPr="008E7C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72C" w:rsidRPr="008E7C2F" w:rsidRDefault="00F9172C" w:rsidP="008E7C2F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</w:rPr>
            </w:pPr>
            <w:r w:rsidRPr="008E7C2F">
              <w:rPr>
                <w:rFonts w:ascii="Times New Roman" w:hAnsi="Times New Roman" w:cs="Times New Roman"/>
                <w:lang w:bidi="de-DE"/>
              </w:rPr>
              <w:t>Am 28. März 2016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72C" w:rsidRPr="008E7C2F" w:rsidRDefault="00F9172C" w:rsidP="008E7C2F">
            <w:pPr>
              <w:pStyle w:val="ConsPlusNormal"/>
              <w:ind w:right="-1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E7C2F">
              <w:rPr>
                <w:rFonts w:ascii="Times New Roman" w:hAnsi="Times New Roman" w:cs="Times New Roman"/>
                <w:lang w:bidi="de-DE"/>
              </w:rPr>
              <w:t>Nr. 945-ОЗ</w:t>
            </w:r>
          </w:p>
        </w:tc>
      </w:tr>
    </w:tbl>
    <w:p w:rsidR="00F9172C" w:rsidRPr="008E7C2F" w:rsidRDefault="00F9172C" w:rsidP="008E7C2F">
      <w:pPr>
        <w:pStyle w:val="ConsPlusNormal"/>
        <w:pBdr>
          <w:top w:val="single" w:sz="6" w:space="0" w:color="auto"/>
        </w:pBdr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F9172C" w:rsidRPr="008E7C2F" w:rsidRDefault="00F9172C" w:rsidP="008E7C2F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F9172C" w:rsidRPr="008E7C2F" w:rsidRDefault="00FE2C0D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GEBIET NOWGOROD</w:t>
      </w:r>
    </w:p>
    <w:p w:rsidR="00F9172C" w:rsidRPr="008E7C2F" w:rsidRDefault="00F9172C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F9172C" w:rsidRPr="008E7C2F" w:rsidRDefault="00FE2C0D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REGIONALGESETZ</w:t>
      </w:r>
    </w:p>
    <w:p w:rsidR="00F9172C" w:rsidRPr="008E7C2F" w:rsidRDefault="00F9172C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F9172C" w:rsidRPr="008E7C2F" w:rsidRDefault="00FE2C0D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ÜBER INVESTITIONSAKTIVITÄT IM GEBIET NOWGOROD</w:t>
      </w:r>
    </w:p>
    <w:p w:rsidR="00F9172C" w:rsidRPr="008E7C2F" w:rsidRDefault="00FE2C0D" w:rsidP="008E7C2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UND SCHUTZ DER INVESTORENRECHTE</w:t>
      </w:r>
    </w:p>
    <w:p w:rsidR="00F9172C" w:rsidRPr="008E7C2F" w:rsidRDefault="00F9172C" w:rsidP="008E7C2F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F9172C" w:rsidRPr="008E7C2F" w:rsidRDefault="00FE2C0D" w:rsidP="008E7C2F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de-DE"/>
        </w:rPr>
        <w:t>I</w:t>
      </w:r>
      <w:r w:rsidR="00F9172C" w:rsidRPr="008E7C2F">
        <w:rPr>
          <w:rFonts w:ascii="Times New Roman" w:hAnsi="Times New Roman" w:cs="Times New Roman"/>
          <w:lang w:bidi="de-DE"/>
        </w:rPr>
        <w:t>n Kraft gesetzt</w:t>
      </w:r>
    </w:p>
    <w:p w:rsidR="00F9172C" w:rsidRPr="008E7C2F" w:rsidRDefault="00F9172C" w:rsidP="008E7C2F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color w:val="0000FF"/>
          <w:lang w:bidi="de-DE"/>
        </w:rPr>
        <w:t xml:space="preserve">durch Verordnung </w:t>
      </w:r>
    </w:p>
    <w:p w:rsidR="00F9172C" w:rsidRPr="008E7C2F" w:rsidRDefault="00F9172C" w:rsidP="008E7C2F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des Gebietsparlaments (</w:t>
      </w:r>
      <w:proofErr w:type="spellStart"/>
      <w:r w:rsidRPr="008E7C2F">
        <w:rPr>
          <w:rFonts w:ascii="Times New Roman" w:hAnsi="Times New Roman" w:cs="Times New Roman"/>
          <w:lang w:bidi="de-DE"/>
        </w:rPr>
        <w:t>Duma</w:t>
      </w:r>
      <w:proofErr w:type="spellEnd"/>
      <w:r w:rsidRPr="008E7C2F">
        <w:rPr>
          <w:rFonts w:ascii="Times New Roman" w:hAnsi="Times New Roman" w:cs="Times New Roman"/>
          <w:lang w:bidi="de-DE"/>
        </w:rPr>
        <w:t xml:space="preserve">) des Gebiets </w:t>
      </w:r>
      <w:proofErr w:type="spellStart"/>
      <w:r w:rsidRPr="008E7C2F">
        <w:rPr>
          <w:rFonts w:ascii="Times New Roman" w:hAnsi="Times New Roman" w:cs="Times New Roman"/>
          <w:lang w:bidi="de-DE"/>
        </w:rPr>
        <w:t>Nowgorod</w:t>
      </w:r>
      <w:proofErr w:type="spellEnd"/>
    </w:p>
    <w:p w:rsidR="00F9172C" w:rsidRPr="008E7C2F" w:rsidRDefault="00F9172C" w:rsidP="008E7C2F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vom 23.03.2016 Nr. 1795-5 ОД</w:t>
      </w:r>
    </w:p>
    <w:p w:rsidR="00F9172C" w:rsidRPr="008E7C2F" w:rsidRDefault="00F9172C" w:rsidP="008E7C2F">
      <w:pPr>
        <w:spacing w:after="0" w:line="240" w:lineRule="auto"/>
        <w:ind w:right="-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72C" w:rsidRPr="008E7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72C" w:rsidRPr="008E7C2F" w:rsidRDefault="00F9172C" w:rsidP="008E7C2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>Revisionen des Dokuments</w:t>
            </w:r>
          </w:p>
          <w:p w:rsidR="00F9172C" w:rsidRPr="008E7C2F" w:rsidRDefault="00F9172C" w:rsidP="008E7C2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 xml:space="preserve">(in der Fassung der Regionalgesetze des Gebiets </w:t>
            </w:r>
            <w:proofErr w:type="spellStart"/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>Nowgorod</w:t>
            </w:r>
            <w:proofErr w:type="spellEnd"/>
          </w:p>
          <w:p w:rsidR="00F9172C" w:rsidRPr="008E7C2F" w:rsidRDefault="00F9172C" w:rsidP="008E7C2F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</w:rPr>
            </w:pPr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 xml:space="preserve">vom 30.06.2016 </w:t>
            </w:r>
            <w:r w:rsidRPr="008E7C2F">
              <w:rPr>
                <w:rFonts w:ascii="Times New Roman" w:hAnsi="Times New Roman" w:cs="Times New Roman"/>
                <w:color w:val="0000FF"/>
                <w:lang w:bidi="de-DE"/>
              </w:rPr>
              <w:t>Nr. 1003-ОЗ</w:t>
            </w:r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 xml:space="preserve">, vom 27.11.2017 </w:t>
            </w:r>
            <w:r w:rsidRPr="008E7C2F">
              <w:rPr>
                <w:rFonts w:ascii="Times New Roman" w:hAnsi="Times New Roman" w:cs="Times New Roman"/>
                <w:color w:val="0000FF"/>
                <w:lang w:bidi="de-DE"/>
              </w:rPr>
              <w:t>Nr. 183-ОЗ</w:t>
            </w:r>
            <w:r w:rsidRPr="008E7C2F">
              <w:rPr>
                <w:rFonts w:ascii="Times New Roman" w:hAnsi="Times New Roman" w:cs="Times New Roman"/>
                <w:color w:val="392C69"/>
                <w:lang w:bidi="de-DE"/>
              </w:rPr>
              <w:t>)</w:t>
            </w:r>
          </w:p>
        </w:tc>
      </w:tr>
    </w:tbl>
    <w:p w:rsidR="00F9172C" w:rsidRPr="008E7C2F" w:rsidRDefault="00F9172C" w:rsidP="008E7C2F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 xml:space="preserve">Das vorliegende Regionalgesetz verfolgt das Ziel, die Investitionsaktivität im Gebiet </w:t>
      </w:r>
      <w:proofErr w:type="spellStart"/>
      <w:r w:rsidRPr="008E7C2F">
        <w:rPr>
          <w:rFonts w:ascii="Times New Roman" w:hAnsi="Times New Roman" w:cs="Times New Roman"/>
          <w:lang w:bidi="de-DE"/>
        </w:rPr>
        <w:t>Nowgorod</w:t>
      </w:r>
      <w:proofErr w:type="spellEnd"/>
      <w:r w:rsidRPr="008E7C2F">
        <w:rPr>
          <w:rFonts w:ascii="Times New Roman" w:hAnsi="Times New Roman" w:cs="Times New Roman"/>
          <w:lang w:bidi="de-DE"/>
        </w:rPr>
        <w:t xml:space="preserve"> zu fördern, das Meistbegünstigungsprinzip in Bezug auf Investoren zu etablieren, die Rechte von Investoren zu schützen, und bestimmt die Formen der Förderung der Investitionsaktivität.</w:t>
      </w:r>
    </w:p>
    <w:p w:rsidR="00F9172C" w:rsidRDefault="00834F25" w:rsidP="009E62BB">
      <w:pPr>
        <w:pStyle w:val="ConsPlusNormal"/>
        <w:ind w:left="567" w:right="-1"/>
        <w:jc w:val="both"/>
        <w:rPr>
          <w:rFonts w:ascii="Times New Roman" w:hAnsi="Times New Roman" w:cs="Times New Roman"/>
        </w:rPr>
      </w:pPr>
      <w:bookmarkStart w:id="0" w:name="P23"/>
      <w:bookmarkEnd w:id="0"/>
      <w:r>
        <w:rPr>
          <w:rFonts w:ascii="Times New Roman" w:hAnsi="Times New Roman" w:cs="Times New Roman"/>
          <w:lang w:bidi="de-DE"/>
        </w:rPr>
        <w:t>Das vorliegende Regionalgesetz regelt bzw. legt fest:</w:t>
      </w:r>
    </w:p>
    <w:p w:rsidR="00F9172C" w:rsidRPr="008E7C2F" w:rsidRDefault="00F9172C" w:rsidP="00834F25">
      <w:pPr>
        <w:pStyle w:val="ConsPlusNormal"/>
        <w:numPr>
          <w:ilvl w:val="0"/>
          <w:numId w:val="1"/>
        </w:numPr>
        <w:ind w:left="0" w:right="-1" w:firstLine="567"/>
        <w:jc w:val="both"/>
        <w:outlineLvl w:val="2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Rechte der Investoren</w:t>
      </w:r>
      <w:r w:rsidR="00FE2C0D">
        <w:rPr>
          <w:rFonts w:ascii="Times New Roman" w:hAnsi="Times New Roman" w:cs="Times New Roman"/>
          <w:lang w:bidi="de-DE"/>
        </w:rPr>
        <w:t>;</w:t>
      </w:r>
    </w:p>
    <w:p w:rsidR="00F9172C" w:rsidRPr="008E7C2F" w:rsidRDefault="00F9172C" w:rsidP="00834F25">
      <w:pPr>
        <w:pStyle w:val="ConsPlusNormal"/>
        <w:numPr>
          <w:ilvl w:val="0"/>
          <w:numId w:val="1"/>
        </w:numPr>
        <w:ind w:left="0" w:right="-1" w:firstLine="567"/>
        <w:jc w:val="both"/>
        <w:outlineLvl w:val="2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Rechtliche Regelung der investitionsbezogenen Aktivitäten</w:t>
      </w:r>
      <w:r w:rsidR="00FE2C0D">
        <w:rPr>
          <w:rFonts w:ascii="Times New Roman" w:hAnsi="Times New Roman" w:cs="Times New Roman"/>
          <w:lang w:bidi="de-DE"/>
        </w:rPr>
        <w:t>;</w:t>
      </w:r>
    </w:p>
    <w:p w:rsidR="00F9172C" w:rsidRPr="008E7C2F" w:rsidRDefault="00F9172C" w:rsidP="00834F25">
      <w:pPr>
        <w:pStyle w:val="ConsPlusNormal"/>
        <w:numPr>
          <w:ilvl w:val="0"/>
          <w:numId w:val="1"/>
        </w:numPr>
        <w:ind w:left="0" w:right="-1" w:firstLine="567"/>
        <w:jc w:val="both"/>
        <w:outlineLvl w:val="2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Formen der Förderung der investitionsbezogenen Aktivitäten</w:t>
      </w:r>
      <w:r w:rsidR="00FE2C0D">
        <w:rPr>
          <w:rFonts w:ascii="Times New Roman" w:hAnsi="Times New Roman" w:cs="Times New Roman"/>
          <w:lang w:bidi="de-DE"/>
        </w:rPr>
        <w:t>.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Für die Förderung der Investitionsaktivität im Gebi</w:t>
      </w:r>
      <w:bookmarkStart w:id="1" w:name="_GoBack"/>
      <w:bookmarkEnd w:id="1"/>
      <w:r w:rsidRPr="008E7C2F">
        <w:rPr>
          <w:rFonts w:ascii="Times New Roman" w:hAnsi="Times New Roman" w:cs="Times New Roman"/>
          <w:lang w:bidi="de-DE"/>
        </w:rPr>
        <w:t xml:space="preserve">et </w:t>
      </w:r>
      <w:proofErr w:type="spellStart"/>
      <w:r w:rsidRPr="008E7C2F">
        <w:rPr>
          <w:rFonts w:ascii="Times New Roman" w:hAnsi="Times New Roman" w:cs="Times New Roman"/>
          <w:lang w:bidi="de-DE"/>
        </w:rPr>
        <w:t>Nowgorod</w:t>
      </w:r>
      <w:proofErr w:type="spellEnd"/>
      <w:r w:rsidRPr="008E7C2F">
        <w:rPr>
          <w:rFonts w:ascii="Times New Roman" w:hAnsi="Times New Roman" w:cs="Times New Roman"/>
          <w:lang w:bidi="de-DE"/>
        </w:rPr>
        <w:t xml:space="preserve"> sind folgende Formen vorgesehen: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1) Gewährung von Vergünstigungen an Investoren für Steuern, bei denen die Berechtigung zur Gewährung von , Vergünstigung bei den Subjekten der Russischen Föderation liegt;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2) Gewährung einer Investitionssteuergutschrift an Investoren;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3) Gewährung von Geldzuwendungen aus dem regionalen Haushalt an Investoren;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 xml:space="preserve">4) Abschließung eines </w:t>
      </w:r>
      <w:proofErr w:type="spellStart"/>
      <w:r w:rsidRPr="008E7C2F">
        <w:rPr>
          <w:rFonts w:ascii="Times New Roman" w:hAnsi="Times New Roman" w:cs="Times New Roman"/>
          <w:lang w:bidi="de-DE"/>
        </w:rPr>
        <w:t>Sonder-Investitionsvertrags</w:t>
      </w:r>
      <w:proofErr w:type="spellEnd"/>
      <w:r w:rsidRPr="008E7C2F">
        <w:rPr>
          <w:rFonts w:ascii="Times New Roman" w:hAnsi="Times New Roman" w:cs="Times New Roman"/>
          <w:lang w:bidi="de-DE"/>
        </w:rPr>
        <w:t>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5) Unterstützung von Anträgen und Anschreiben der Investoren an föderale Exekutivorgane und Kreditinstitute auf Gewährung der Meistbegünstigung;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 xml:space="preserve">6) </w:t>
      </w:r>
      <w:proofErr w:type="spellStart"/>
      <w:r w:rsidRPr="008E7C2F">
        <w:rPr>
          <w:rFonts w:ascii="Times New Roman" w:hAnsi="Times New Roman" w:cs="Times New Roman"/>
          <w:lang w:bidi="de-DE"/>
        </w:rPr>
        <w:t>Mediale</w:t>
      </w:r>
      <w:proofErr w:type="spellEnd"/>
      <w:r w:rsidRPr="008E7C2F">
        <w:rPr>
          <w:rFonts w:ascii="Times New Roman" w:hAnsi="Times New Roman" w:cs="Times New Roman"/>
          <w:lang w:bidi="de-DE"/>
        </w:rPr>
        <w:t xml:space="preserve"> Unterstützung von Investoren bzw. Investitionsprojekten durch Exekutiv- sowie Selbstverwaltungsorgane des Gebiets </w:t>
      </w:r>
      <w:proofErr w:type="spellStart"/>
      <w:r w:rsidRPr="008E7C2F">
        <w:rPr>
          <w:rFonts w:ascii="Times New Roman" w:hAnsi="Times New Roman" w:cs="Times New Roman"/>
          <w:lang w:bidi="de-DE"/>
        </w:rPr>
        <w:t>Nowgorod</w:t>
      </w:r>
      <w:proofErr w:type="spellEnd"/>
      <w:r w:rsidRPr="008E7C2F">
        <w:rPr>
          <w:rFonts w:ascii="Times New Roman" w:hAnsi="Times New Roman" w:cs="Times New Roman"/>
          <w:lang w:bidi="de-DE"/>
        </w:rPr>
        <w:t xml:space="preserve"> in den Grenzen ihrer Kompetenzen;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7) Gewährung von staatlichen Garantien im durch regionale Gesetzgebung vorgesehenen Rahmen;</w:t>
      </w:r>
    </w:p>
    <w:p w:rsidR="00F9172C" w:rsidRPr="008E7C2F" w:rsidRDefault="00F9172C" w:rsidP="008E7C2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  <w:r w:rsidRPr="008E7C2F">
        <w:rPr>
          <w:rFonts w:ascii="Times New Roman" w:hAnsi="Times New Roman" w:cs="Times New Roman"/>
          <w:lang w:bidi="de-DE"/>
        </w:rPr>
        <w:t>8) Begleitung von Investitionsprojekten.</w:t>
      </w:r>
    </w:p>
    <w:sectPr w:rsidR="00F9172C" w:rsidRPr="008E7C2F" w:rsidSect="009A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780"/>
    <w:multiLevelType w:val="hybridMultilevel"/>
    <w:tmpl w:val="75D04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72C"/>
    <w:rsid w:val="002F1765"/>
    <w:rsid w:val="00556ED5"/>
    <w:rsid w:val="007E562E"/>
    <w:rsid w:val="00834F25"/>
    <w:rsid w:val="008E7C2F"/>
    <w:rsid w:val="009E62BB"/>
    <w:rsid w:val="00A21EAF"/>
    <w:rsid w:val="00F9172C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Маргарита Алексеевна</dc:creator>
  <cp:lastModifiedBy>Admin</cp:lastModifiedBy>
  <cp:revision>5</cp:revision>
  <dcterms:created xsi:type="dcterms:W3CDTF">2018-10-13T21:11:00Z</dcterms:created>
  <dcterms:modified xsi:type="dcterms:W3CDTF">2018-12-13T13:23:00Z</dcterms:modified>
</cp:coreProperties>
</file>